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#10</w:t>
      </w:r>
      <w:r w:rsidR="0008364D">
        <w:rPr>
          <w:rFonts w:eastAsia="MS Mincho"/>
          <w:b/>
          <w:sz w:val="24"/>
          <w:szCs w:val="24"/>
          <w:lang w:val="en-GB" w:eastAsia="x-none"/>
        </w:rPr>
        <w:t>6</w:t>
      </w:r>
      <w:r w:rsidR="00C92359" w:rsidRPr="00C92359">
        <w:rPr>
          <w:rFonts w:eastAsia="MS Mincho"/>
          <w:b/>
          <w:sz w:val="24"/>
          <w:szCs w:val="24"/>
          <w:lang w:val="en-GB" w:eastAsia="x-none"/>
        </w:rPr>
        <w:tab/>
      </w:r>
      <w:r w:rsidR="00314EA1" w:rsidRPr="00314EA1">
        <w:rPr>
          <w:rFonts w:eastAsia="MS Mincho"/>
          <w:b/>
          <w:sz w:val="24"/>
          <w:szCs w:val="24"/>
          <w:lang w:val="en-GB" w:eastAsia="x-none"/>
        </w:rPr>
        <w:t>R3-197452</w:t>
      </w:r>
    </w:p>
    <w:p w:rsidR="00C92359" w:rsidRPr="00C92359" w:rsidRDefault="0008364D"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Reno, USA</w:t>
      </w:r>
      <w:r w:rsidR="00C92359" w:rsidRPr="00C92359">
        <w:rPr>
          <w:rFonts w:eastAsia="MS Mincho"/>
          <w:b/>
          <w:sz w:val="24"/>
          <w:szCs w:val="24"/>
          <w:lang w:val="en-GB" w:eastAsia="x-none"/>
        </w:rPr>
        <w:t>,</w:t>
      </w:r>
      <w:r w:rsidR="00C92359">
        <w:rPr>
          <w:rFonts w:eastAsia="MS Mincho"/>
          <w:b/>
          <w:sz w:val="24"/>
          <w:szCs w:val="24"/>
          <w:lang w:val="en-GB" w:eastAsia="x-none"/>
        </w:rPr>
        <w:t xml:space="preserve"> </w:t>
      </w:r>
      <w:r>
        <w:rPr>
          <w:rFonts w:eastAsia="MS Mincho"/>
          <w:b/>
          <w:sz w:val="24"/>
          <w:szCs w:val="24"/>
          <w:lang w:val="en-GB" w:eastAsia="x-none"/>
        </w:rPr>
        <w:t>18</w:t>
      </w:r>
      <w:r w:rsidR="00C92359" w:rsidRPr="00C92359">
        <w:rPr>
          <w:rFonts w:eastAsia="MS Mincho"/>
          <w:b/>
          <w:sz w:val="24"/>
          <w:szCs w:val="24"/>
          <w:lang w:val="en-GB" w:eastAsia="x-none"/>
        </w:rPr>
        <w:t xml:space="preserve">th </w:t>
      </w:r>
      <w:r>
        <w:rPr>
          <w:rFonts w:eastAsia="MS Mincho"/>
          <w:b/>
          <w:sz w:val="24"/>
          <w:szCs w:val="24"/>
          <w:lang w:val="en-GB" w:eastAsia="x-none"/>
        </w:rPr>
        <w:t>–</w:t>
      </w:r>
      <w:r w:rsidR="00C92359" w:rsidRPr="00C92359">
        <w:rPr>
          <w:rFonts w:eastAsia="MS Mincho"/>
          <w:b/>
          <w:sz w:val="24"/>
          <w:szCs w:val="24"/>
          <w:lang w:val="en-GB" w:eastAsia="x-none"/>
        </w:rPr>
        <w:t xml:space="preserve"> </w:t>
      </w:r>
      <w:r>
        <w:rPr>
          <w:rFonts w:eastAsia="MS Mincho"/>
          <w:b/>
          <w:sz w:val="24"/>
          <w:szCs w:val="24"/>
          <w:lang w:val="en-GB" w:eastAsia="x-none"/>
        </w:rPr>
        <w:t>22nd</w:t>
      </w:r>
      <w:r w:rsidR="00C92359" w:rsidRPr="00C92359">
        <w:rPr>
          <w:rFonts w:eastAsia="MS Mincho"/>
          <w:b/>
          <w:sz w:val="24"/>
          <w:szCs w:val="24"/>
          <w:lang w:val="en-GB" w:eastAsia="x-none"/>
        </w:rPr>
        <w:t xml:space="preserve"> </w:t>
      </w:r>
      <w:r>
        <w:rPr>
          <w:rFonts w:eastAsia="MS Mincho"/>
          <w:b/>
          <w:sz w:val="24"/>
          <w:szCs w:val="24"/>
          <w:lang w:val="en-GB" w:eastAsia="x-none"/>
        </w:rPr>
        <w:t>November</w:t>
      </w:r>
      <w:r w:rsidR="00C92359" w:rsidRPr="00C92359">
        <w:rPr>
          <w:rFonts w:eastAsia="MS Mincho"/>
          <w:b/>
          <w:sz w:val="24"/>
          <w:szCs w:val="24"/>
          <w:lang w:val="en-GB" w:eastAsia="x-none"/>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bookmarkStart w:id="0" w:name="_GoBack"/>
      <w:r w:rsidRPr="00212204">
        <w:rPr>
          <w:b/>
          <w:sz w:val="24"/>
          <w:szCs w:val="24"/>
        </w:rPr>
        <w:t>Agenda Item:</w:t>
      </w:r>
      <w:r w:rsidRPr="00212204">
        <w:rPr>
          <w:sz w:val="24"/>
          <w:szCs w:val="24"/>
        </w:rPr>
        <w:tab/>
      </w:r>
      <w:bookmarkStart w:id="1" w:name="Source"/>
      <w:bookmarkEnd w:id="1"/>
      <w:r w:rsidR="006A48D3">
        <w:rPr>
          <w:b/>
          <w:sz w:val="24"/>
          <w:szCs w:val="24"/>
        </w:rPr>
        <w:t>13.2.</w:t>
      </w:r>
      <w:r w:rsidR="0008364D">
        <w:rPr>
          <w:b/>
          <w:sz w:val="24"/>
          <w:szCs w:val="24"/>
        </w:rPr>
        <w:t>2</w:t>
      </w:r>
      <w:r w:rsidR="006A48D3">
        <w:rPr>
          <w:b/>
          <w:sz w:val="24"/>
          <w:szCs w:val="24"/>
        </w:rPr>
        <w:t>.1</w:t>
      </w:r>
    </w:p>
    <w:bookmarkEnd w:id="0"/>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08364D" w:rsidRPr="0008364D">
        <w:rPr>
          <w:b/>
          <w:sz w:val="24"/>
          <w:szCs w:val="24"/>
        </w:rPr>
        <w:t>Congestion indication from intermediate IAB nodes to CU-CP</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3A2CF2" w:rsidRDefault="00073B76" w:rsidP="00F53ECE">
      <w:pPr>
        <w:spacing w:after="240"/>
        <w:rPr>
          <w:rFonts w:asciiTheme="minorHAnsi" w:hAnsiTheme="minorHAnsi"/>
          <w:lang w:val="en-GB"/>
        </w:rPr>
      </w:pPr>
      <w:r>
        <w:rPr>
          <w:rFonts w:asciiTheme="minorHAnsi" w:hAnsiTheme="minorHAnsi"/>
          <w:lang w:val="en-GB"/>
        </w:rPr>
        <w:t xml:space="preserve">At the </w:t>
      </w:r>
      <w:r w:rsidR="00E57082">
        <w:rPr>
          <w:rFonts w:asciiTheme="minorHAnsi" w:hAnsiTheme="minorHAnsi"/>
          <w:lang w:val="en-GB"/>
        </w:rPr>
        <w:t xml:space="preserve">RAN3#105bis meeting, an LS was received from RAN2 [1] regarding flow control in IAB. The contents included flow control related agreements made by RAN2 and </w:t>
      </w:r>
      <w:r w:rsidR="00960654">
        <w:rPr>
          <w:rFonts w:asciiTheme="minorHAnsi" w:hAnsiTheme="minorHAnsi"/>
          <w:lang w:val="en-GB"/>
        </w:rPr>
        <w:t>the types of flow control solutions that were discussed by RAN2</w:t>
      </w:r>
      <w:r w:rsidR="003A2CF2" w:rsidRPr="003A2CF2">
        <w:rPr>
          <w:rFonts w:asciiTheme="minorHAnsi" w:hAnsiTheme="minorHAnsi"/>
          <w:lang w:val="en-GB"/>
        </w:rPr>
        <w:t>:</w:t>
      </w:r>
    </w:p>
    <w:tbl>
      <w:tblPr>
        <w:tblStyle w:val="TableGrid"/>
        <w:tblW w:w="0" w:type="auto"/>
        <w:tblLook w:val="04A0" w:firstRow="1" w:lastRow="0" w:firstColumn="1" w:lastColumn="0" w:noHBand="0" w:noVBand="1"/>
      </w:tblPr>
      <w:tblGrid>
        <w:gridCol w:w="10070"/>
      </w:tblGrid>
      <w:tr w:rsidR="00A97790" w:rsidTr="00A97790">
        <w:tc>
          <w:tcPr>
            <w:tcW w:w="10070" w:type="dxa"/>
          </w:tcPr>
          <w:p w:rsidR="00A97790" w:rsidRDefault="00A97790" w:rsidP="00A97790">
            <w:pPr>
              <w:rPr>
                <w:rFonts w:cs="Arial"/>
                <w:b/>
              </w:rPr>
            </w:pPr>
            <w:r>
              <w:rPr>
                <w:rFonts w:cs="Arial"/>
                <w:b/>
              </w:rPr>
              <w:t>1. Overall Description:</w:t>
            </w:r>
          </w:p>
          <w:p w:rsidR="00A97790" w:rsidRDefault="00A97790" w:rsidP="00A97790">
            <w:pPr>
              <w:pStyle w:val="Header"/>
              <w:tabs>
                <w:tab w:val="left" w:pos="720"/>
              </w:tabs>
              <w:rPr>
                <w:rFonts w:cs="Arial"/>
              </w:rPr>
            </w:pPr>
            <w:r>
              <w:rPr>
                <w:rFonts w:cs="Arial"/>
              </w:rPr>
              <w:t>At the ongoing meeting (RAN2#107), RAN2 have discussed the outcome of e-mail discussion [106#</w:t>
            </w:r>
            <w:proofErr w:type="gramStart"/>
            <w:r>
              <w:rPr>
                <w:rFonts w:cs="Arial"/>
              </w:rPr>
              <w:t>44][</w:t>
            </w:r>
            <w:proofErr w:type="gramEnd"/>
            <w:r>
              <w:rPr>
                <w:rFonts w:cs="Arial"/>
              </w:rPr>
              <w:t>IAB]  on Flow control, and made the following agreements:</w:t>
            </w:r>
          </w:p>
          <w:p w:rsidR="00A97790" w:rsidRDefault="00A97790" w:rsidP="00A97790">
            <w:pPr>
              <w:pStyle w:val="Header"/>
              <w:tabs>
                <w:tab w:val="left" w:pos="720"/>
              </w:tabs>
              <w:rPr>
                <w:rFonts w:cs="Arial"/>
              </w:rPr>
            </w:pP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rPr>
            </w:pPr>
            <w:r>
              <w:rPr>
                <w:lang w:val="en-US" w:eastAsia="zh-CN" w:bidi="ar"/>
              </w:rPr>
              <w:t>The UL end-to-end flow control is not supported in IAB network</w:t>
            </w: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eastAsia="zh-CN" w:bidi="ar"/>
              </w:rPr>
            </w:pPr>
            <w:r>
              <w:rPr>
                <w:lang w:val="en-US" w:eastAsia="zh-CN" w:bidi="ar"/>
              </w:rPr>
              <w:t xml:space="preserve">The DL hop-by-hop flow control is supported in IAB network. </w:t>
            </w: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eastAsia="en-GB"/>
              </w:rPr>
            </w:pPr>
            <w:r>
              <w:rPr>
                <w:lang w:val="en-US" w:eastAsia="zh-CN"/>
              </w:rPr>
              <w:t>One hop DL flow control feedback is considered for DL hop-by-hop flow control, i.e. congested IAB node feedback flow control info to its parent IAB node.</w:t>
            </w: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eastAsia="zh-CN"/>
              </w:rPr>
            </w:pPr>
            <w:r>
              <w:rPr>
                <w:lang w:val="en-US" w:eastAsia="zh-CN"/>
              </w:rPr>
              <w:t xml:space="preserve">DL One-hop flow control feedback should include the IAB node buffer load (details FFS) and flow control granularity info. FFS other information. </w:t>
            </w: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eastAsia="en-GB"/>
              </w:rPr>
            </w:pPr>
            <w:r>
              <w:rPr>
                <w:lang w:val="en-US" w:eastAsia="zh-CN" w:bidi="ar"/>
              </w:rPr>
              <w:t xml:space="preserve">Per BH RLC </w:t>
            </w:r>
            <w:proofErr w:type="gramStart"/>
            <w:r>
              <w:rPr>
                <w:lang w:val="en-US" w:eastAsia="zh-CN" w:bidi="ar"/>
              </w:rPr>
              <w:t>channel based</w:t>
            </w:r>
            <w:proofErr w:type="gramEnd"/>
            <w:r>
              <w:rPr>
                <w:lang w:val="en-US" w:eastAsia="zh-CN" w:bidi="ar"/>
              </w:rPr>
              <w:t xml:space="preserve"> flow control feedback can be considered as baseline. FFS on the necessity of other flow control granularity</w:t>
            </w: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eastAsia="zh-CN" w:bidi="ar"/>
              </w:rPr>
            </w:pPr>
            <w:r>
              <w:rPr>
                <w:lang w:val="en-US" w:eastAsia="zh-CN" w:bidi="ar"/>
              </w:rPr>
              <w:t>BAP layer supports the DL hop-by-hop flow control and flow control feedback function</w:t>
            </w:r>
          </w:p>
          <w:p w:rsidR="00A97790" w:rsidRDefault="00A97790" w:rsidP="00A97790">
            <w:pPr>
              <w:pStyle w:val="Agreement"/>
              <w:numPr>
                <w:ilvl w:val="0"/>
                <w:numId w:val="26"/>
              </w:numPr>
              <w:tabs>
                <w:tab w:val="clear" w:pos="1080"/>
                <w:tab w:val="num" w:pos="1619"/>
              </w:tabs>
              <w:overflowPunct/>
              <w:autoSpaceDE/>
              <w:autoSpaceDN/>
              <w:adjustRightInd/>
              <w:spacing w:after="0"/>
              <w:ind w:left="1619"/>
              <w:textAlignment w:val="auto"/>
              <w:rPr>
                <w:lang w:val="en-US" w:eastAsia="zh-CN" w:bidi="ar"/>
              </w:rPr>
            </w:pPr>
            <w:r>
              <w:rPr>
                <w:lang w:val="en-US" w:eastAsia="zh-CN" w:bidi="ar"/>
              </w:rPr>
              <w:t xml:space="preserve">It is FFS how to trigger the </w:t>
            </w:r>
            <w:proofErr w:type="spellStart"/>
            <w:r>
              <w:rPr>
                <w:lang w:val="en-US" w:eastAsia="zh-CN" w:bidi="ar"/>
              </w:rPr>
              <w:t>the</w:t>
            </w:r>
            <w:proofErr w:type="spellEnd"/>
            <w:r>
              <w:rPr>
                <w:lang w:val="en-US" w:eastAsia="zh-CN" w:bidi="ar"/>
              </w:rPr>
              <w:t xml:space="preserve"> DL hop-by-hop flow control in IAB network</w:t>
            </w:r>
          </w:p>
          <w:p w:rsidR="00A97790" w:rsidRDefault="00A97790" w:rsidP="00A97790">
            <w:pPr>
              <w:pStyle w:val="Header"/>
              <w:tabs>
                <w:tab w:val="left" w:pos="720"/>
              </w:tabs>
              <w:rPr>
                <w:rFonts w:cs="Arial"/>
                <w:lang w:val="en-GB"/>
              </w:rPr>
            </w:pPr>
          </w:p>
          <w:p w:rsidR="00A97790" w:rsidRDefault="00A97790" w:rsidP="00A97790">
            <w:pPr>
              <w:pStyle w:val="Header"/>
              <w:tabs>
                <w:tab w:val="left" w:pos="720"/>
              </w:tabs>
              <w:rPr>
                <w:rFonts w:cs="Arial"/>
              </w:rPr>
            </w:pPr>
          </w:p>
          <w:p w:rsidR="00A97790" w:rsidRDefault="00A97790" w:rsidP="00A97790">
            <w:pPr>
              <w:pStyle w:val="Header"/>
              <w:tabs>
                <w:tab w:val="left" w:pos="720"/>
              </w:tabs>
              <w:rPr>
                <w:rFonts w:cs="Arial"/>
              </w:rPr>
            </w:pPr>
            <w:r>
              <w:rPr>
                <w:rFonts w:cs="Arial"/>
              </w:rPr>
              <w:t>The above focuses on DL hop-by-hop flow control since this is within RAN2’s remit. RAN2 would like to inform RAN3 that, in the course of RAN2’s discussions on flow control in IAB, several solutions were additionally discussed for what was broadly termed DL end-to-end flow control, potentially impacting F1 interface. More specifically, the following solutions were discussed in RAN2 to:</w:t>
            </w:r>
          </w:p>
          <w:p w:rsidR="00A97790" w:rsidRDefault="00A97790" w:rsidP="00A97790">
            <w:pPr>
              <w:pStyle w:val="Header"/>
              <w:numPr>
                <w:ilvl w:val="0"/>
                <w:numId w:val="27"/>
              </w:numPr>
              <w:tabs>
                <w:tab w:val="clear" w:pos="4680"/>
                <w:tab w:val="clear" w:pos="9360"/>
                <w:tab w:val="left" w:pos="720"/>
                <w:tab w:val="center" w:pos="4153"/>
                <w:tab w:val="right" w:pos="8306"/>
              </w:tabs>
              <w:rPr>
                <w:rFonts w:cs="Arial"/>
              </w:rPr>
            </w:pPr>
            <w:r>
              <w:rPr>
                <w:rFonts w:cs="Arial"/>
              </w:rPr>
              <w:t>Enhance existing F1-U flow control through changes to NR UP DDDS, by reporting additional information from the access node to the CU; and</w:t>
            </w:r>
          </w:p>
          <w:p w:rsidR="00A97790" w:rsidRDefault="00A97790" w:rsidP="00A97790">
            <w:pPr>
              <w:pStyle w:val="Header"/>
              <w:numPr>
                <w:ilvl w:val="0"/>
                <w:numId w:val="27"/>
              </w:numPr>
              <w:tabs>
                <w:tab w:val="clear" w:pos="4680"/>
                <w:tab w:val="clear" w:pos="9360"/>
                <w:tab w:val="left" w:pos="720"/>
                <w:tab w:val="center" w:pos="4153"/>
                <w:tab w:val="right" w:pos="8306"/>
              </w:tabs>
              <w:rPr>
                <w:rFonts w:cs="Arial"/>
              </w:rPr>
            </w:pPr>
            <w:r>
              <w:rPr>
                <w:rFonts w:cs="Arial"/>
              </w:rPr>
              <w:t>Modify F1 flow control by sending feedback to the CU (CU-UP and/or CU-CP) from intermediate nodes (where congestion is occurring)</w:t>
            </w:r>
          </w:p>
          <w:p w:rsidR="00A97790" w:rsidRDefault="00A97790" w:rsidP="00A97790">
            <w:pPr>
              <w:pStyle w:val="Header"/>
              <w:tabs>
                <w:tab w:val="left" w:pos="720"/>
              </w:tabs>
              <w:rPr>
                <w:rFonts w:cs="Arial"/>
              </w:rPr>
            </w:pPr>
          </w:p>
          <w:p w:rsidR="00A97790" w:rsidRDefault="00A97790" w:rsidP="00A97790">
            <w:pPr>
              <w:rPr>
                <w:rFonts w:cs="Arial"/>
                <w:b/>
              </w:rPr>
            </w:pPr>
            <w:r>
              <w:rPr>
                <w:rFonts w:cs="Arial"/>
                <w:b/>
              </w:rPr>
              <w:t>2. Actions:</w:t>
            </w:r>
          </w:p>
          <w:p w:rsidR="00A97790" w:rsidRPr="00A97790" w:rsidRDefault="00A97790" w:rsidP="00A97790">
            <w:pPr>
              <w:pStyle w:val="Header"/>
              <w:tabs>
                <w:tab w:val="left" w:pos="720"/>
              </w:tabs>
              <w:rPr>
                <w:rFonts w:cs="Arial"/>
              </w:rPr>
            </w:pPr>
            <w:r>
              <w:rPr>
                <w:rFonts w:cs="Arial"/>
              </w:rPr>
              <w:t>RAN2 has agreed to support DL hop-by-hop flow control. RAN2 would also like to inform RAN3 our intention to address end-to-end solutions for DL flow control. As the detailed solutions comprising changes to F1 are within RAN3 scope, RAN2 kindly asks RAN3 to take above into account, discuss feasibility of these and any other options as RAN3 deems fit, and feedback to RAN2 if further actions are needed on our part to realize any RAN3-agreed solutions.</w:t>
            </w:r>
          </w:p>
        </w:tc>
      </w:tr>
    </w:tbl>
    <w:p w:rsidR="003A2CF2" w:rsidRDefault="00531213" w:rsidP="00F53ECE">
      <w:pPr>
        <w:spacing w:before="240" w:after="240"/>
        <w:rPr>
          <w:rFonts w:ascii="Calibri" w:eastAsia="Malgun Gothic" w:hAnsi="Calibri" w:cs="Batang"/>
          <w:lang w:val="en-GB" w:eastAsia="ko-KR"/>
        </w:rPr>
      </w:pPr>
      <w:r>
        <w:rPr>
          <w:rFonts w:ascii="Calibri" w:hAnsi="Calibri" w:cs="Batang"/>
          <w:lang w:val="en-GB" w:eastAsia="ko-KR"/>
        </w:rPr>
        <w:t>In this contribution we specifically focus on one aspect of the solutions described in the LS that we think is important for RAN3 to consider and discuss</w:t>
      </w:r>
      <w:r w:rsidR="003A2CF2">
        <w:rPr>
          <w:rFonts w:ascii="Calibri" w:eastAsia="Malgun Gothic" w:hAnsi="Calibri" w:cs="Batang"/>
          <w:lang w:val="en-GB" w:eastAsia="ko-KR"/>
        </w:rPr>
        <w:t xml:space="preserve">. </w:t>
      </w: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 xml:space="preserve"> </w:t>
      </w:r>
      <w:r w:rsidR="00531213">
        <w:t>Congestion Indication to CU-CP</w:t>
      </w:r>
    </w:p>
    <w:p w:rsidR="00E07DCB" w:rsidRDefault="00E07DCB" w:rsidP="00E07DCB">
      <w:pPr>
        <w:rPr>
          <w:rFonts w:ascii="Calibri" w:eastAsia="Malgun Gothic" w:hAnsi="Calibri" w:cs="Batang"/>
          <w:lang w:val="en-GB" w:eastAsia="ko-KR"/>
        </w:rPr>
      </w:pPr>
      <w:r>
        <w:rPr>
          <w:rFonts w:ascii="Calibri" w:eastAsia="Malgun Gothic" w:hAnsi="Calibri" w:cs="Batang"/>
          <w:lang w:val="en-GB" w:eastAsia="ko-KR"/>
        </w:rPr>
        <w:t xml:space="preserve">Release 15 specifications define a flow control mechanism on the F1-U interface that enables </w:t>
      </w:r>
      <w:r w:rsidR="001E0196">
        <w:rPr>
          <w:rFonts w:ascii="Calibri" w:eastAsia="Malgun Gothic" w:hAnsi="Calibri" w:cs="Batang"/>
          <w:lang w:val="en-GB" w:eastAsia="ko-KR"/>
        </w:rPr>
        <w:t>the</w:t>
      </w:r>
      <w:r>
        <w:rPr>
          <w:rFonts w:ascii="Calibri" w:eastAsia="Malgun Gothic" w:hAnsi="Calibri" w:cs="Batang"/>
          <w:lang w:val="en-GB" w:eastAsia="ko-KR"/>
        </w:rPr>
        <w:t xml:space="preserv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-DU to provide downlink data delivery status (DDDS) information to the CU-UP. The DDDS PDU provides the highest successfully delivered PDCP sequence number, desired buffer size, and minimum desired buffer size information in addition to information about lost F1-U sequence numbers. In the context of an IAB network, this DDDS mechanism may work well to provide end-to-end </w:t>
      </w:r>
      <w:r w:rsidR="001E0196">
        <w:rPr>
          <w:rFonts w:ascii="Calibri" w:eastAsia="Malgun Gothic" w:hAnsi="Calibri" w:cs="Batang"/>
          <w:lang w:val="en-GB" w:eastAsia="ko-KR"/>
        </w:rPr>
        <w:t xml:space="preserve">downlink </w:t>
      </w:r>
      <w:r>
        <w:rPr>
          <w:rFonts w:ascii="Calibri" w:eastAsia="Malgun Gothic" w:hAnsi="Calibri" w:cs="Batang"/>
          <w:lang w:val="en-GB" w:eastAsia="ko-KR"/>
        </w:rPr>
        <w:t xml:space="preserve">flow control between the access IAB node and the CU-UP. </w:t>
      </w:r>
    </w:p>
    <w:p w:rsidR="00E07DCB" w:rsidRDefault="00E07DCB" w:rsidP="00E07DCB">
      <w:pPr>
        <w:rPr>
          <w:rFonts w:ascii="Calibri" w:eastAsia="Malgun Gothic" w:hAnsi="Calibri" w:cs="Batang"/>
          <w:lang w:val="en-GB" w:eastAsia="ko-KR"/>
        </w:rPr>
      </w:pPr>
      <w:r>
        <w:rPr>
          <w:rFonts w:ascii="Calibri" w:eastAsia="Malgun Gothic" w:hAnsi="Calibri" w:cs="Batang"/>
          <w:lang w:val="en-GB" w:eastAsia="ko-KR"/>
        </w:rPr>
        <w:t>However, currently no mechanism exists to provide congestion information from intermediate IAB nodes to the CU-UP</w:t>
      </w:r>
      <w:r w:rsidR="00B460A0">
        <w:rPr>
          <w:rFonts w:ascii="Calibri" w:eastAsia="Malgun Gothic" w:hAnsi="Calibri" w:cs="Batang"/>
          <w:lang w:val="en-GB" w:eastAsia="ko-KR"/>
        </w:rPr>
        <w:t xml:space="preserve">. Furthermore, no mechanism exists at all </w:t>
      </w:r>
      <w:r w:rsidR="00B3454C">
        <w:rPr>
          <w:rFonts w:ascii="Calibri" w:eastAsia="Malgun Gothic" w:hAnsi="Calibri" w:cs="Batang"/>
          <w:lang w:val="en-GB" w:eastAsia="ko-KR"/>
        </w:rPr>
        <w:t xml:space="preserve">to </w:t>
      </w:r>
      <w:r w:rsidR="00B460A0">
        <w:rPr>
          <w:rFonts w:ascii="Calibri" w:eastAsia="Malgun Gothic" w:hAnsi="Calibri" w:cs="Batang"/>
          <w:lang w:val="en-GB" w:eastAsia="ko-KR"/>
        </w:rPr>
        <w:t>provide any congestion</w:t>
      </w:r>
      <w:r w:rsidR="001E0196">
        <w:rPr>
          <w:rFonts w:ascii="Calibri" w:eastAsia="Malgun Gothic" w:hAnsi="Calibri" w:cs="Batang"/>
          <w:lang w:val="en-GB" w:eastAsia="ko-KR"/>
        </w:rPr>
        <w:t xml:space="preserve"> related</w:t>
      </w:r>
      <w:r w:rsidR="00B460A0">
        <w:rPr>
          <w:rFonts w:ascii="Calibri" w:eastAsia="Malgun Gothic" w:hAnsi="Calibri" w:cs="Batang"/>
          <w:lang w:val="en-GB" w:eastAsia="ko-KR"/>
        </w:rPr>
        <w:t xml:space="preserve"> information from either the access IAB node or intermediate IAB nodes to the CU-CP.</w:t>
      </w:r>
    </w:p>
    <w:p w:rsidR="00B3454C" w:rsidRDefault="00B3454C" w:rsidP="00E07DCB">
      <w:pPr>
        <w:rPr>
          <w:rFonts w:ascii="Calibri" w:eastAsia="Malgun Gothic" w:hAnsi="Calibri" w:cs="Batang"/>
          <w:lang w:val="en-GB" w:eastAsia="ko-KR"/>
        </w:rPr>
      </w:pPr>
      <w:r>
        <w:rPr>
          <w:rFonts w:ascii="Calibri" w:eastAsia="Malgun Gothic" w:hAnsi="Calibri" w:cs="Batang"/>
          <w:lang w:val="en-GB" w:eastAsia="ko-KR"/>
        </w:rPr>
        <w:t xml:space="preserve">In an IAB network, the CU-CP performs critical functions that are of great importance to the proper functioning of the IAB network. For example, the CU-CP performs all routing decisions and configuration of </w:t>
      </w:r>
      <w:r w:rsidR="00C530BC">
        <w:rPr>
          <w:rFonts w:ascii="Calibri" w:eastAsia="Malgun Gothic" w:hAnsi="Calibri" w:cs="Batang"/>
          <w:lang w:val="en-GB" w:eastAsia="ko-KR"/>
        </w:rPr>
        <w:t xml:space="preserve">forwarding tables at IAB nodes in the network. The CU-CP also configures each IAB node with mappings between backhaul RLC channels and UE bearers, and provides resource configurations to each IAB node that determine which resources are utilized by the IAB node. The CU-CP is responsible for making topology changes within the IAB network in response to changing conditions (e.g. link failures, etc.). </w:t>
      </w:r>
    </w:p>
    <w:p w:rsidR="00E07DCB" w:rsidRPr="001D5128" w:rsidRDefault="001D5128" w:rsidP="00E07DCB">
      <w:pPr>
        <w:rPr>
          <w:rFonts w:ascii="Calibri" w:eastAsia="Malgun Gothic" w:hAnsi="Calibri" w:cs="Batang"/>
          <w:b/>
          <w:lang w:val="en-GB" w:eastAsia="ko-KR"/>
        </w:rPr>
      </w:pPr>
      <w:r w:rsidRPr="001D5128">
        <w:rPr>
          <w:rFonts w:ascii="Calibri" w:eastAsia="Malgun Gothic" w:hAnsi="Calibri" w:cs="Batang"/>
          <w:b/>
          <w:lang w:val="en-GB" w:eastAsia="ko-KR"/>
        </w:rPr>
        <w:t>Observation 1: In an IAB network, the CU-CP performs critical functions of great importance to the proper functioning of the IAB network, such as routing, bearer mapping, resource configuration, etc.</w:t>
      </w:r>
    </w:p>
    <w:p w:rsidR="001D5128" w:rsidRDefault="001D5128" w:rsidP="00E07DCB">
      <w:pPr>
        <w:rPr>
          <w:rFonts w:ascii="Calibri" w:eastAsia="Malgun Gothic" w:hAnsi="Calibri" w:cs="Batang"/>
          <w:lang w:val="en-GB" w:eastAsia="ko-KR"/>
        </w:rPr>
      </w:pPr>
      <w:r>
        <w:rPr>
          <w:rFonts w:ascii="Calibri" w:eastAsia="Malgun Gothic" w:hAnsi="Calibri" w:cs="Batang"/>
          <w:lang w:val="en-GB" w:eastAsia="ko-KR"/>
        </w:rPr>
        <w:t xml:space="preserve">In the event that there is significant congestion being experienced in a part of the IAB network, according to current specifications there is no mechanism available to indicate such congestion </w:t>
      </w:r>
      <w:r w:rsidR="001E0196">
        <w:rPr>
          <w:rFonts w:ascii="Calibri" w:eastAsia="Malgun Gothic" w:hAnsi="Calibri" w:cs="Batang"/>
          <w:lang w:val="en-GB" w:eastAsia="ko-KR"/>
        </w:rPr>
        <w:t xml:space="preserve">directly </w:t>
      </w:r>
      <w:r>
        <w:rPr>
          <w:rFonts w:ascii="Calibri" w:eastAsia="Malgun Gothic" w:hAnsi="Calibri" w:cs="Batang"/>
          <w:lang w:val="en-GB" w:eastAsia="ko-KR"/>
        </w:rPr>
        <w:t xml:space="preserve">to the CU-CP so that the CU-CP can take some corrective action. The existing congestion reporting mechanism is end-to-end between the access IAB node and the CU-UP, and any user plane enhancements to consider congestion reporting from intermediate IAB nodes to the CU-UP may not help the CU-CP without some additional enhancements to the E1 interface to relay such congestion information from the CU-UP to CU-CP. </w:t>
      </w:r>
      <w:r w:rsidR="005508F9">
        <w:rPr>
          <w:rFonts w:ascii="Calibri" w:eastAsia="Malgun Gothic" w:hAnsi="Calibri" w:cs="Batang"/>
          <w:lang w:val="en-GB" w:eastAsia="ko-KR"/>
        </w:rPr>
        <w:t xml:space="preserve">Even if such enhancements are made to the E1 interface, such a solution may not be optimal for </w:t>
      </w:r>
      <w:r w:rsidR="00B94C68">
        <w:rPr>
          <w:rFonts w:ascii="Calibri" w:eastAsia="Malgun Gothic" w:hAnsi="Calibri" w:cs="Batang"/>
          <w:lang w:val="en-GB" w:eastAsia="ko-KR"/>
        </w:rPr>
        <w:t>network performance due to the additional delay incurred in relaying the information over E1 interface to the CU-CP. If the congestion even</w:t>
      </w:r>
      <w:r w:rsidR="00E608AC">
        <w:rPr>
          <w:rFonts w:ascii="Calibri" w:eastAsia="Malgun Gothic" w:hAnsi="Calibri" w:cs="Batang"/>
          <w:lang w:val="en-GB" w:eastAsia="ko-KR"/>
        </w:rPr>
        <w:t>t</w:t>
      </w:r>
      <w:r w:rsidR="00B94C68">
        <w:rPr>
          <w:rFonts w:ascii="Calibri" w:eastAsia="Malgun Gothic" w:hAnsi="Calibri" w:cs="Batang"/>
          <w:lang w:val="en-GB" w:eastAsia="ko-KR"/>
        </w:rPr>
        <w:t xml:space="preserve"> is severe, timely reporting </w:t>
      </w:r>
      <w:r w:rsidR="00E608AC">
        <w:rPr>
          <w:rFonts w:ascii="Calibri" w:eastAsia="Malgun Gothic" w:hAnsi="Calibri" w:cs="Batang"/>
          <w:lang w:val="en-GB" w:eastAsia="ko-KR"/>
        </w:rPr>
        <w:t xml:space="preserve">of such congestion information </w:t>
      </w:r>
      <w:r w:rsidR="00B94C68">
        <w:rPr>
          <w:rFonts w:ascii="Calibri" w:eastAsia="Malgun Gothic" w:hAnsi="Calibri" w:cs="Batang"/>
          <w:lang w:val="en-GB" w:eastAsia="ko-KR"/>
        </w:rPr>
        <w:t xml:space="preserve">directly to the CU-CP may make it possible for the CU-CP to take timely corrective actions such as rerouting the data flow or making topology changes or changing resource configurations. </w:t>
      </w:r>
    </w:p>
    <w:p w:rsidR="001D5128" w:rsidRDefault="00F07649" w:rsidP="00E07DCB">
      <w:pPr>
        <w:rPr>
          <w:rFonts w:ascii="Calibri" w:eastAsia="Malgun Gothic" w:hAnsi="Calibri" w:cs="Batang"/>
          <w:b/>
          <w:lang w:val="en-GB" w:eastAsia="ko-KR"/>
        </w:rPr>
      </w:pPr>
      <w:r w:rsidRPr="00F07649">
        <w:rPr>
          <w:rFonts w:ascii="Calibri" w:eastAsia="Malgun Gothic" w:hAnsi="Calibri" w:cs="Batang"/>
          <w:b/>
          <w:lang w:val="en-GB" w:eastAsia="ko-KR"/>
        </w:rPr>
        <w:t>Observation 2: Time</w:t>
      </w:r>
      <w:r w:rsidR="00931339">
        <w:rPr>
          <w:rFonts w:ascii="Calibri" w:eastAsia="Malgun Gothic" w:hAnsi="Calibri" w:cs="Batang"/>
          <w:b/>
          <w:lang w:val="en-GB" w:eastAsia="ko-KR"/>
        </w:rPr>
        <w:t>ly</w:t>
      </w:r>
      <w:r w:rsidRPr="00F07649">
        <w:rPr>
          <w:rFonts w:ascii="Calibri" w:eastAsia="Malgun Gothic" w:hAnsi="Calibri" w:cs="Batang"/>
          <w:b/>
          <w:lang w:val="en-GB" w:eastAsia="ko-KR"/>
        </w:rPr>
        <w:t xml:space="preserve"> reporting of congestion information directly to the CU-CP may make it possible for the CU-CP to take timely corrective actions such as rerouting data flows or making topology changes or changing resource configurations.</w:t>
      </w:r>
    </w:p>
    <w:p w:rsidR="00F07649" w:rsidRPr="00F07649" w:rsidRDefault="00876446" w:rsidP="00E07DCB">
      <w:pPr>
        <w:rPr>
          <w:rFonts w:ascii="Calibri" w:eastAsia="Malgun Gothic" w:hAnsi="Calibri" w:cs="Batang"/>
          <w:lang w:val="en-GB" w:eastAsia="ko-KR"/>
        </w:rPr>
      </w:pPr>
      <w:r>
        <w:rPr>
          <w:rFonts w:ascii="Calibri" w:eastAsia="Malgun Gothic" w:hAnsi="Calibri" w:cs="Batang"/>
          <w:lang w:val="en-GB" w:eastAsia="ko-KR"/>
        </w:rPr>
        <w:t xml:space="preserve">Consequently, we believe that RAN3 should discuss how to provide congestion indication information from IAB nodes to the CU-CP </w:t>
      </w:r>
      <w:r w:rsidR="001615F4">
        <w:rPr>
          <w:rFonts w:ascii="Calibri" w:eastAsia="Malgun Gothic" w:hAnsi="Calibri" w:cs="Batang"/>
          <w:lang w:val="en-GB" w:eastAsia="ko-KR"/>
        </w:rPr>
        <w:t xml:space="preserve">via F1AP interface </w:t>
      </w:r>
      <w:r>
        <w:rPr>
          <w:rFonts w:ascii="Calibri" w:eastAsia="Malgun Gothic" w:hAnsi="Calibri" w:cs="Batang"/>
          <w:lang w:val="en-GB" w:eastAsia="ko-KR"/>
        </w:rPr>
        <w:t>in order to enable the CU-CP to</w:t>
      </w:r>
      <w:r w:rsidR="001615F4">
        <w:rPr>
          <w:rFonts w:ascii="Calibri" w:eastAsia="Malgun Gothic" w:hAnsi="Calibri" w:cs="Batang"/>
          <w:lang w:val="en-GB" w:eastAsia="ko-KR"/>
        </w:rPr>
        <w:t xml:space="preserve"> maintain a picture of existing congestion conditions across the entire IAB network it supports. </w:t>
      </w:r>
    </w:p>
    <w:p w:rsidR="001615F4" w:rsidRPr="001615F4" w:rsidRDefault="00F13A40" w:rsidP="00F13A40">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1B1E40">
        <w:rPr>
          <w:rFonts w:ascii="Calibri" w:eastAsia="Malgun Gothic" w:hAnsi="Calibri" w:cs="Batang"/>
          <w:b/>
          <w:lang w:val="en-GB" w:eastAsia="ko-KR"/>
        </w:rPr>
        <w:t>1</w:t>
      </w:r>
      <w:r w:rsidRPr="00C5283A">
        <w:rPr>
          <w:rFonts w:ascii="Calibri" w:eastAsia="Malgun Gothic" w:hAnsi="Calibri" w:cs="Batang"/>
          <w:b/>
          <w:lang w:val="en-GB" w:eastAsia="ko-KR"/>
        </w:rPr>
        <w:t xml:space="preserve">: RAN3 </w:t>
      </w:r>
      <w:r>
        <w:rPr>
          <w:rFonts w:ascii="Calibri" w:eastAsia="Malgun Gothic" w:hAnsi="Calibri" w:cs="Batang"/>
          <w:b/>
          <w:lang w:val="en-GB" w:eastAsia="ko-KR"/>
        </w:rPr>
        <w:t xml:space="preserve">should </w:t>
      </w:r>
      <w:r w:rsidR="001B1E40">
        <w:rPr>
          <w:rFonts w:ascii="Calibri" w:eastAsia="Malgun Gothic" w:hAnsi="Calibri" w:cs="Batang"/>
          <w:b/>
          <w:lang w:val="en-GB" w:eastAsia="ko-KR"/>
        </w:rPr>
        <w:t>consider providing congestion indication information via F1AP from IAB nodes to the CU-CP</w:t>
      </w:r>
      <w:r w:rsidRPr="00C5283A">
        <w:rPr>
          <w:rFonts w:ascii="Calibri" w:eastAsia="Malgun Gothic" w:hAnsi="Calibri" w:cs="Batang"/>
          <w:b/>
          <w:lang w:val="en-GB" w:eastAsia="ko-KR"/>
        </w:rPr>
        <w:t>.</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F82906" w:rsidP="004A7002">
      <w:pPr>
        <w:pStyle w:val="maintext"/>
        <w:ind w:firstLineChars="0" w:firstLine="0"/>
        <w:rPr>
          <w:rFonts w:ascii="Calibri" w:hAnsi="Calibri"/>
        </w:rPr>
      </w:pPr>
      <w:r>
        <w:rPr>
          <w:rFonts w:ascii="Calibri" w:hAnsi="Calibri"/>
        </w:rPr>
        <w:t>In this contribution we</w:t>
      </w:r>
      <w:r w:rsidR="001615F4">
        <w:rPr>
          <w:rFonts w:ascii="Calibri" w:hAnsi="Calibri"/>
        </w:rPr>
        <w:t xml:space="preserve"> discussed the need for providing congestion indication from IAB nodes to the CU-CP. The following observations and proposal were offered for consideration</w:t>
      </w:r>
      <w:r>
        <w:rPr>
          <w:rFonts w:ascii="Calibri" w:hAnsi="Calibri"/>
        </w:rPr>
        <w:t>:</w:t>
      </w:r>
      <w:r w:rsidR="004A7002">
        <w:rPr>
          <w:rFonts w:ascii="Calibri" w:hAnsi="Calibri"/>
        </w:rPr>
        <w:t xml:space="preserve"> </w:t>
      </w:r>
    </w:p>
    <w:p w:rsidR="001B1E40" w:rsidRPr="001D5128" w:rsidRDefault="001B1E40" w:rsidP="001B1E40">
      <w:pPr>
        <w:rPr>
          <w:rFonts w:ascii="Calibri" w:eastAsia="Malgun Gothic" w:hAnsi="Calibri" w:cs="Batang"/>
          <w:b/>
          <w:lang w:val="en-GB" w:eastAsia="ko-KR"/>
        </w:rPr>
      </w:pPr>
      <w:r w:rsidRPr="001D5128">
        <w:rPr>
          <w:rFonts w:ascii="Calibri" w:eastAsia="Malgun Gothic" w:hAnsi="Calibri" w:cs="Batang"/>
          <w:b/>
          <w:lang w:val="en-GB" w:eastAsia="ko-KR"/>
        </w:rPr>
        <w:t>Observation 1: In an IAB network, the CU-CP performs critical functions of great importance to the proper functioning of the IAB network, such as routing, bearer mapping, resource configuration, etc.</w:t>
      </w:r>
    </w:p>
    <w:p w:rsidR="001B1E40" w:rsidRDefault="001B1E40" w:rsidP="001B1E40">
      <w:pPr>
        <w:rPr>
          <w:rFonts w:ascii="Calibri" w:eastAsia="Malgun Gothic" w:hAnsi="Calibri" w:cs="Batang"/>
          <w:b/>
          <w:lang w:val="en-GB" w:eastAsia="ko-KR"/>
        </w:rPr>
      </w:pPr>
      <w:r w:rsidRPr="00F07649">
        <w:rPr>
          <w:rFonts w:ascii="Calibri" w:eastAsia="Malgun Gothic" w:hAnsi="Calibri" w:cs="Batang"/>
          <w:b/>
          <w:lang w:val="en-GB" w:eastAsia="ko-KR"/>
        </w:rPr>
        <w:t>Observation 2: Time</w:t>
      </w:r>
      <w:r>
        <w:rPr>
          <w:rFonts w:ascii="Calibri" w:eastAsia="Malgun Gothic" w:hAnsi="Calibri" w:cs="Batang"/>
          <w:b/>
          <w:lang w:val="en-GB" w:eastAsia="ko-KR"/>
        </w:rPr>
        <w:t>ly</w:t>
      </w:r>
      <w:r w:rsidRPr="00F07649">
        <w:rPr>
          <w:rFonts w:ascii="Calibri" w:eastAsia="Malgun Gothic" w:hAnsi="Calibri" w:cs="Batang"/>
          <w:b/>
          <w:lang w:val="en-GB" w:eastAsia="ko-KR"/>
        </w:rPr>
        <w:t xml:space="preserve"> reporting of congestion information directly to the CU-CP may make it possible for the CU-CP to take timely corrective actions such as rerouting data flows or making topology changes or changing resource configurations.</w:t>
      </w:r>
    </w:p>
    <w:p w:rsidR="000D25E8" w:rsidRPr="003B2F05" w:rsidRDefault="001615F4" w:rsidP="000D25E8">
      <w:pPr>
        <w:rPr>
          <w:rFonts w:ascii="Calibri" w:eastAsia="Malgun Gothic" w:hAnsi="Calibri" w:cs="Batang"/>
          <w:b/>
          <w:lang w:val="en-GB" w:eastAsia="ko-KR"/>
        </w:rPr>
      </w:pPr>
      <w:r>
        <w:rPr>
          <w:rFonts w:ascii="Calibri" w:eastAsia="Malgun Gothic" w:hAnsi="Calibri" w:cs="Batang"/>
          <w:b/>
          <w:lang w:val="en-GB" w:eastAsia="ko-KR"/>
        </w:rPr>
        <w:t>Proposal 1</w:t>
      </w:r>
      <w:r w:rsidRPr="00C5283A">
        <w:rPr>
          <w:rFonts w:ascii="Calibri" w:eastAsia="Malgun Gothic" w:hAnsi="Calibri" w:cs="Batang"/>
          <w:b/>
          <w:lang w:val="en-GB" w:eastAsia="ko-KR"/>
        </w:rPr>
        <w:t xml:space="preserve">: RAN3 </w:t>
      </w:r>
      <w:r>
        <w:rPr>
          <w:rFonts w:ascii="Calibri" w:eastAsia="Malgun Gothic" w:hAnsi="Calibri" w:cs="Batang"/>
          <w:b/>
          <w:lang w:val="en-GB" w:eastAsia="ko-KR"/>
        </w:rPr>
        <w:t>should consider providing congestion indication information via F1AP from IAB nodes to the CU-CP</w:t>
      </w:r>
      <w:r w:rsidRPr="00C5283A">
        <w:rPr>
          <w:rFonts w:ascii="Calibri" w:eastAsia="Malgun Gothic" w:hAnsi="Calibri" w:cs="Batang"/>
          <w:b/>
          <w:lang w:val="en-GB" w:eastAsia="ko-KR"/>
        </w:rPr>
        <w:t>.</w:t>
      </w:r>
    </w:p>
    <w:p w:rsidR="00B460A0" w:rsidRDefault="00B460A0" w:rsidP="00B460A0">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References</w:t>
      </w:r>
    </w:p>
    <w:p w:rsidR="00B460A0" w:rsidRDefault="00B460A0" w:rsidP="00B460A0">
      <w:pPr>
        <w:pStyle w:val="2222"/>
        <w:numPr>
          <w:ilvl w:val="0"/>
          <w:numId w:val="5"/>
        </w:numPr>
        <w:spacing w:after="120" w:line="288" w:lineRule="auto"/>
        <w:ind w:left="360" w:firstLineChars="0"/>
        <w:jc w:val="left"/>
        <w:rPr>
          <w:rFonts w:cs="Times New Roman"/>
          <w:lang w:eastAsia="ko-KR"/>
        </w:rPr>
      </w:pPr>
      <w:r w:rsidRPr="00FB7009">
        <w:rPr>
          <w:rFonts w:cs="Times New Roman"/>
          <w:lang w:eastAsia="ko-KR"/>
        </w:rPr>
        <w:t>R</w:t>
      </w:r>
      <w:r>
        <w:rPr>
          <w:rFonts w:cs="Times New Roman"/>
          <w:lang w:eastAsia="ko-KR"/>
        </w:rPr>
        <w:t>3</w:t>
      </w:r>
      <w:r w:rsidRPr="00FB7009">
        <w:rPr>
          <w:rFonts w:cs="Times New Roman"/>
          <w:lang w:eastAsia="ko-KR"/>
        </w:rPr>
        <w:t>-19</w:t>
      </w:r>
      <w:r>
        <w:rPr>
          <w:rFonts w:cs="Times New Roman"/>
          <w:lang w:eastAsia="ko-KR"/>
        </w:rPr>
        <w:t>4911, LS to RAN3 on flow control in IAB, RAN2.</w:t>
      </w:r>
    </w:p>
    <w:p w:rsidR="00477F9F" w:rsidRPr="004131D6" w:rsidRDefault="00477F9F" w:rsidP="00C408C7">
      <w:pPr>
        <w:rPr>
          <w:rFonts w:ascii="Calibri" w:eastAsia="Malgun Gothic" w:hAnsi="Calibri" w:cs="Batang"/>
          <w:b/>
          <w:lang w:val="en-GB" w:eastAsia="ko-KR"/>
        </w:rPr>
      </w:pPr>
    </w:p>
    <w:sectPr w:rsidR="00477F9F"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6B62" w:rsidRDefault="00C76B62" w:rsidP="00424124">
      <w:pPr>
        <w:spacing w:before="0" w:after="0"/>
      </w:pPr>
      <w:r>
        <w:separator/>
      </w:r>
    </w:p>
  </w:endnote>
  <w:endnote w:type="continuationSeparator" w:id="0">
    <w:p w:rsidR="00C76B62" w:rsidRDefault="00C76B6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6B62" w:rsidRDefault="00C76B62" w:rsidP="00424124">
      <w:pPr>
        <w:spacing w:before="0" w:after="0"/>
      </w:pPr>
      <w:r>
        <w:separator/>
      </w:r>
    </w:p>
  </w:footnote>
  <w:footnote w:type="continuationSeparator" w:id="0">
    <w:p w:rsidR="00C76B62" w:rsidRDefault="00C76B6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15"/>
  </w:num>
  <w:num w:numId="9">
    <w:abstractNumId w:val="2"/>
  </w:num>
  <w:num w:numId="10">
    <w:abstractNumId w:val="3"/>
  </w:num>
  <w:num w:numId="11">
    <w:abstractNumId w:val="18"/>
  </w:num>
  <w:num w:numId="12">
    <w:abstractNumId w:val="9"/>
  </w:num>
  <w:num w:numId="13">
    <w:abstractNumId w:val="10"/>
  </w:num>
  <w:num w:numId="14">
    <w:abstractNumId w:val="25"/>
  </w:num>
  <w:num w:numId="15">
    <w:abstractNumId w:val="1"/>
  </w:num>
  <w:num w:numId="16">
    <w:abstractNumId w:val="22"/>
  </w:num>
  <w:num w:numId="17">
    <w:abstractNumId w:val="16"/>
  </w:num>
  <w:num w:numId="18">
    <w:abstractNumId w:val="13"/>
  </w:num>
  <w:num w:numId="19">
    <w:abstractNumId w:val="5"/>
  </w:num>
  <w:num w:numId="20">
    <w:abstractNumId w:val="23"/>
  </w:num>
  <w:num w:numId="21">
    <w:abstractNumId w:val="21"/>
  </w:num>
  <w:num w:numId="22">
    <w:abstractNumId w:val="24"/>
  </w:num>
  <w:num w:numId="23">
    <w:abstractNumId w:val="7"/>
  </w:num>
  <w:num w:numId="24">
    <w:abstractNumId w:val="20"/>
  </w:num>
  <w:num w:numId="25">
    <w:abstractNumId w:val="11"/>
  </w:num>
  <w:num w:numId="26">
    <w:abstractNumId w:val="21"/>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F1A"/>
    <w:rsid w:val="00024B67"/>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7DC6"/>
    <w:rsid w:val="000A36A9"/>
    <w:rsid w:val="000B0720"/>
    <w:rsid w:val="000B58AF"/>
    <w:rsid w:val="000B6D99"/>
    <w:rsid w:val="000C05C0"/>
    <w:rsid w:val="000C21D0"/>
    <w:rsid w:val="000C57B9"/>
    <w:rsid w:val="000D176F"/>
    <w:rsid w:val="000D25E8"/>
    <w:rsid w:val="000D38DC"/>
    <w:rsid w:val="000E2283"/>
    <w:rsid w:val="000E29D8"/>
    <w:rsid w:val="000E7524"/>
    <w:rsid w:val="000F259D"/>
    <w:rsid w:val="000F6CCA"/>
    <w:rsid w:val="0010303E"/>
    <w:rsid w:val="0011327D"/>
    <w:rsid w:val="001139B2"/>
    <w:rsid w:val="00114145"/>
    <w:rsid w:val="0011588C"/>
    <w:rsid w:val="00116DA6"/>
    <w:rsid w:val="001279BC"/>
    <w:rsid w:val="00134C07"/>
    <w:rsid w:val="001356D6"/>
    <w:rsid w:val="00137E15"/>
    <w:rsid w:val="001417A8"/>
    <w:rsid w:val="00153793"/>
    <w:rsid w:val="001615F4"/>
    <w:rsid w:val="00162B42"/>
    <w:rsid w:val="00164A98"/>
    <w:rsid w:val="00172743"/>
    <w:rsid w:val="00175301"/>
    <w:rsid w:val="00184E81"/>
    <w:rsid w:val="001901AC"/>
    <w:rsid w:val="00196027"/>
    <w:rsid w:val="001A5A68"/>
    <w:rsid w:val="001A6212"/>
    <w:rsid w:val="001A75E0"/>
    <w:rsid w:val="001B1E40"/>
    <w:rsid w:val="001B2705"/>
    <w:rsid w:val="001B7305"/>
    <w:rsid w:val="001B731B"/>
    <w:rsid w:val="001C4ACE"/>
    <w:rsid w:val="001C699C"/>
    <w:rsid w:val="001D5128"/>
    <w:rsid w:val="001E0196"/>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141F5"/>
    <w:rsid w:val="00314EA1"/>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2CF2"/>
    <w:rsid w:val="003A3F9A"/>
    <w:rsid w:val="003A553B"/>
    <w:rsid w:val="003A566A"/>
    <w:rsid w:val="003B1EC9"/>
    <w:rsid w:val="003B2F05"/>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1BD6"/>
    <w:rsid w:val="00494D7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4EA"/>
    <w:rsid w:val="005300F0"/>
    <w:rsid w:val="00531213"/>
    <w:rsid w:val="005363F5"/>
    <w:rsid w:val="00541819"/>
    <w:rsid w:val="0054560C"/>
    <w:rsid w:val="00545FD3"/>
    <w:rsid w:val="005508F9"/>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E5DCB"/>
    <w:rsid w:val="005F21BF"/>
    <w:rsid w:val="005F3A08"/>
    <w:rsid w:val="005F613D"/>
    <w:rsid w:val="005F705D"/>
    <w:rsid w:val="00600F57"/>
    <w:rsid w:val="00603015"/>
    <w:rsid w:val="00604F3E"/>
    <w:rsid w:val="0060603E"/>
    <w:rsid w:val="00613926"/>
    <w:rsid w:val="00621955"/>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A48D3"/>
    <w:rsid w:val="006B67B9"/>
    <w:rsid w:val="006B6C31"/>
    <w:rsid w:val="006C0BAC"/>
    <w:rsid w:val="006C452E"/>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3642"/>
    <w:rsid w:val="0075622F"/>
    <w:rsid w:val="0075669D"/>
    <w:rsid w:val="00757EA9"/>
    <w:rsid w:val="0076067D"/>
    <w:rsid w:val="00773B29"/>
    <w:rsid w:val="00782CDC"/>
    <w:rsid w:val="007839F9"/>
    <w:rsid w:val="00784079"/>
    <w:rsid w:val="00784132"/>
    <w:rsid w:val="00786229"/>
    <w:rsid w:val="0078708D"/>
    <w:rsid w:val="00787145"/>
    <w:rsid w:val="00791D57"/>
    <w:rsid w:val="007A0744"/>
    <w:rsid w:val="007A2765"/>
    <w:rsid w:val="007A65F1"/>
    <w:rsid w:val="007B13E5"/>
    <w:rsid w:val="007B2F6B"/>
    <w:rsid w:val="007B473A"/>
    <w:rsid w:val="007B6F7C"/>
    <w:rsid w:val="007C2993"/>
    <w:rsid w:val="007C4B85"/>
    <w:rsid w:val="007C6338"/>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1339"/>
    <w:rsid w:val="00933AFB"/>
    <w:rsid w:val="00940101"/>
    <w:rsid w:val="00940DAB"/>
    <w:rsid w:val="00941829"/>
    <w:rsid w:val="009445D2"/>
    <w:rsid w:val="009453B3"/>
    <w:rsid w:val="00954A35"/>
    <w:rsid w:val="009550DA"/>
    <w:rsid w:val="00957172"/>
    <w:rsid w:val="00957CD1"/>
    <w:rsid w:val="00960654"/>
    <w:rsid w:val="00961DB2"/>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C4F8A"/>
    <w:rsid w:val="009D46C1"/>
    <w:rsid w:val="009D7145"/>
    <w:rsid w:val="009E0D02"/>
    <w:rsid w:val="009E4418"/>
    <w:rsid w:val="009E5838"/>
    <w:rsid w:val="00A0235E"/>
    <w:rsid w:val="00A02A54"/>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821EA"/>
    <w:rsid w:val="00A8721E"/>
    <w:rsid w:val="00A92495"/>
    <w:rsid w:val="00A97790"/>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5DE"/>
    <w:rsid w:val="00AF733C"/>
    <w:rsid w:val="00B00828"/>
    <w:rsid w:val="00B01529"/>
    <w:rsid w:val="00B04278"/>
    <w:rsid w:val="00B12672"/>
    <w:rsid w:val="00B17406"/>
    <w:rsid w:val="00B21299"/>
    <w:rsid w:val="00B2434D"/>
    <w:rsid w:val="00B24D29"/>
    <w:rsid w:val="00B32216"/>
    <w:rsid w:val="00B3454C"/>
    <w:rsid w:val="00B34716"/>
    <w:rsid w:val="00B3707E"/>
    <w:rsid w:val="00B40DE1"/>
    <w:rsid w:val="00B460A0"/>
    <w:rsid w:val="00B50666"/>
    <w:rsid w:val="00B558D7"/>
    <w:rsid w:val="00B55FA2"/>
    <w:rsid w:val="00B61A13"/>
    <w:rsid w:val="00B6232D"/>
    <w:rsid w:val="00B648CA"/>
    <w:rsid w:val="00B714C9"/>
    <w:rsid w:val="00B74894"/>
    <w:rsid w:val="00B749FB"/>
    <w:rsid w:val="00B75FF7"/>
    <w:rsid w:val="00B82B83"/>
    <w:rsid w:val="00B83E07"/>
    <w:rsid w:val="00B909F7"/>
    <w:rsid w:val="00B94C68"/>
    <w:rsid w:val="00B968EB"/>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283A"/>
    <w:rsid w:val="00C530BC"/>
    <w:rsid w:val="00C534CA"/>
    <w:rsid w:val="00C55D8F"/>
    <w:rsid w:val="00C63006"/>
    <w:rsid w:val="00C67568"/>
    <w:rsid w:val="00C7007B"/>
    <w:rsid w:val="00C71871"/>
    <w:rsid w:val="00C724F1"/>
    <w:rsid w:val="00C735F1"/>
    <w:rsid w:val="00C76B62"/>
    <w:rsid w:val="00C913B6"/>
    <w:rsid w:val="00C91C5E"/>
    <w:rsid w:val="00C92359"/>
    <w:rsid w:val="00C92E44"/>
    <w:rsid w:val="00CA6EA3"/>
    <w:rsid w:val="00CB15A7"/>
    <w:rsid w:val="00CB6D97"/>
    <w:rsid w:val="00CC09CE"/>
    <w:rsid w:val="00CD0E88"/>
    <w:rsid w:val="00CD7B54"/>
    <w:rsid w:val="00CE0C9D"/>
    <w:rsid w:val="00CE1FF5"/>
    <w:rsid w:val="00CE7B29"/>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421"/>
    <w:rsid w:val="00DD3971"/>
    <w:rsid w:val="00DD663E"/>
    <w:rsid w:val="00DE2A3F"/>
    <w:rsid w:val="00DF5F45"/>
    <w:rsid w:val="00E03E65"/>
    <w:rsid w:val="00E06B55"/>
    <w:rsid w:val="00E07AD0"/>
    <w:rsid w:val="00E07DCB"/>
    <w:rsid w:val="00E13146"/>
    <w:rsid w:val="00E16C01"/>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082"/>
    <w:rsid w:val="00E576BD"/>
    <w:rsid w:val="00E57BE9"/>
    <w:rsid w:val="00E604D6"/>
    <w:rsid w:val="00E608AC"/>
    <w:rsid w:val="00E67086"/>
    <w:rsid w:val="00E70DD5"/>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F1F69"/>
    <w:rsid w:val="00EF61D1"/>
    <w:rsid w:val="00F05333"/>
    <w:rsid w:val="00F07649"/>
    <w:rsid w:val="00F1311C"/>
    <w:rsid w:val="00F13A40"/>
    <w:rsid w:val="00F154D0"/>
    <w:rsid w:val="00F20DFF"/>
    <w:rsid w:val="00F246F5"/>
    <w:rsid w:val="00F261D6"/>
    <w:rsid w:val="00F26D45"/>
    <w:rsid w:val="00F30C84"/>
    <w:rsid w:val="00F3161F"/>
    <w:rsid w:val="00F35704"/>
    <w:rsid w:val="00F35911"/>
    <w:rsid w:val="00F35DD7"/>
    <w:rsid w:val="00F42D43"/>
    <w:rsid w:val="00F463C9"/>
    <w:rsid w:val="00F53ECE"/>
    <w:rsid w:val="00F57965"/>
    <w:rsid w:val="00F62702"/>
    <w:rsid w:val="00F62C88"/>
    <w:rsid w:val="00F71810"/>
    <w:rsid w:val="00F72ABE"/>
    <w:rsid w:val="00F72B1B"/>
    <w:rsid w:val="00F73933"/>
    <w:rsid w:val="00F7596C"/>
    <w:rsid w:val="00F75F2B"/>
    <w:rsid w:val="00F76733"/>
    <w:rsid w:val="00F76A86"/>
    <w:rsid w:val="00F77E12"/>
    <w:rsid w:val="00F8020B"/>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46F5-782B-4D15-80FF-D38E048B9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6816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25</cp:revision>
  <cp:lastPrinted>2018-09-28T20:14:00Z</cp:lastPrinted>
  <dcterms:created xsi:type="dcterms:W3CDTF">2019-11-08T17:32:00Z</dcterms:created>
  <dcterms:modified xsi:type="dcterms:W3CDTF">2019-11-08T22:00:00Z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